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465" t="46140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42.8pt;margin-top:5pt;height:0.95pt;width:377.1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Bt6ULVAAAACAEAAA8AAAAAAAAAAQAgAAAAIgAA&#10;AGRycy9kb3ducmV2LnhtbFBLAQIUABQAAAAIAIdO4kBj9Mc00gEAAH8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(Коммолодежь Костромской области)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20.09.2018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32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hint="default" w:ascii="Times New Roman" w:hAnsi="Times New Roman" w:cs="Times New Roman"/>
          <w:b/>
          <w:sz w:val="28"/>
          <w:u w:val="single"/>
          <w:lang w:val="ru-RU"/>
        </w:rPr>
        <w:t>162</w:t>
      </w:r>
    </w:p>
    <w:p>
      <w:pPr>
        <w:ind w:firstLine="709"/>
      </w:pPr>
      <w:bookmarkStart w:id="0" w:name="__DdeLink__1419_685995629"/>
      <w:bookmarkEnd w:id="0"/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  <w:lang w:eastAsia="en-US"/>
        </w:rPr>
        <w:t>О</w:t>
      </w:r>
      <w:r>
        <w:rPr>
          <w:rFonts w:hint="default" w:ascii="Times New Roman" w:hAnsi="Times New Roman" w:cs="Times New Roman" w:eastAsiaTheme="minorHAnsi"/>
          <w:b/>
          <w:bCs/>
          <w:color w:val="auto"/>
          <w:sz w:val="28"/>
          <w:szCs w:val="28"/>
          <w:lang w:val="ru-RU" w:eastAsia="en-US"/>
        </w:rPr>
        <w:t xml:space="preserve"> внесении изменений в приказ комитета по делам молодежи Костромской области от 04.03.2016 № 29 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5 Закона Костромской области от 10 марта 2009 года № 450-4-ЗКО «О противодействии коррупции в Костромской области», постановлением администрации Костромской области от 6 октября 2015 года № 358-а «Об антикоррупционной экспертизе нормативных правовых актов (проектов нормативных правовых актов) Костромской области»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pStyle w:val="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приказ комитета по делам молодежи Костромской области от 4 марта 2016 года № 29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 w:eastAsiaTheme="minorHAnsi"/>
          <w:b w:val="0"/>
          <w:bCs w:val="0"/>
          <w:color w:val="auto"/>
          <w:sz w:val="28"/>
          <w:szCs w:val="28"/>
          <w:lang w:eastAsia="en-US"/>
        </w:rPr>
        <w:t>Об антикоррупционной экспертизе нормативных правовых актов (проектов нормативных правовых актов)</w:t>
      </w:r>
      <w:r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  <w:t>» следующие изменения:</w:t>
      </w:r>
    </w:p>
    <w:p>
      <w:pPr>
        <w:pStyle w:val="6"/>
        <w:numPr>
          <w:ilvl w:val="0"/>
          <w:numId w:val="2"/>
        </w:numPr>
        <w:ind w:firstLine="708" w:firstLineChars="0"/>
        <w:jc w:val="both"/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  <w:t>в подпункте 4 пункта 2 слова «о деятельности актов комитета по делам молодежи Костромской области» заменить словами «о деятельности комитета по делам молодежи Костромской области»;</w:t>
      </w:r>
    </w:p>
    <w:p>
      <w:pPr>
        <w:pStyle w:val="6"/>
        <w:numPr>
          <w:ilvl w:val="0"/>
          <w:numId w:val="2"/>
        </w:numPr>
        <w:ind w:firstLine="708" w:firstLineChars="0"/>
        <w:jc w:val="both"/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b w:val="0"/>
          <w:bCs w:val="0"/>
          <w:color w:val="auto"/>
          <w:sz w:val="28"/>
          <w:szCs w:val="28"/>
          <w:lang w:val="ru-RU" w:eastAsia="en-US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>организации проведения антикоррупционной экспертизы нормативных правовых актов, проектов нормативных правовых актов комитета по делам молодежи Костромской области (приложение 1)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6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пункте 5 подпункты 1 и 5 признать утратившими силу;</w:t>
      </w:r>
    </w:p>
    <w:p>
      <w:pPr>
        <w:pStyle w:val="6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дополнить пунктами 5.1 и 5.2  следующего содеражания: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«5.1.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проведения антикоррупционной экспертизы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>
      <w:pPr>
        <w:pStyle w:val="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поручение председателя комитета (в случае его отсутствия - лица его замещающего);</w:t>
      </w:r>
    </w:p>
    <w:p>
      <w:pPr>
        <w:pStyle w:val="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факт разработки проекта нормативного правового акта и направление его на согласование в сектор.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5.2.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Антикоррупционная экспертиза нормативных правовых актов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комитета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(проектов нормативных правовых актов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 комитета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) проводится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консультантом сектора.»;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пункт 7  изложить в следующей редакции:</w:t>
      </w:r>
    </w:p>
    <w:p>
      <w:pPr>
        <w:pStyle w:val="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«7. </w:t>
      </w: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передаются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всех актов (документов), в соответствии с которыми или во исполнение которых они подготовлены. В случае если проект нормативного правового акта предусматривает внесение изменений в существующий нормативный правовой акт, к проекту прикладываются нормативный правовой акт, в который планируется внести изменения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</w:t>
      </w:r>
      <w:r>
        <w:rPr>
          <w:rFonts w:ascii="Times New Roman" w:hAnsi="Times New Roman" w:cs="Times New Roman"/>
          <w:sz w:val="28"/>
          <w:szCs w:val="28"/>
          <w:lang w:val="ru-RU"/>
        </w:rPr>
        <w:t>ранее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вносившие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данный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без приложения указанных актов (документов) не проводится, а проекты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течение 1 рабочего дня </w:t>
      </w:r>
      <w:r>
        <w:rPr>
          <w:rFonts w:ascii="Times New Roman" w:hAnsi="Times New Roman" w:cs="Times New Roman"/>
          <w:sz w:val="28"/>
          <w:szCs w:val="28"/>
        </w:rPr>
        <w:t>возвращаются исполнителю.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пункт 8 изложить в следующей редакции: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«8.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Антикоррупционная экспертиза нормативных правовых актов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(проектов нормативных правовых актов)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проводится в течение 10 рабочих дней со дня возникновения оснований для проведения антикоррупционной экспертизы нормативных правовых актов либо в срок, установленный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ланом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, для проектов нормативных правовых актов - со дня поступления проекта нормативного правового акта в сектор.»;</w:t>
      </w:r>
    </w:p>
    <w:p>
      <w:pPr>
        <w:pStyle w:val="6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 xml:space="preserve">пункт 9 изложить в следующей редакции: 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9. По результатам антикоррупционной экспертизы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консультантом </w:t>
      </w:r>
      <w:r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готовится заключение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>по форме согласно приложению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Порядку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Костромской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утвержденному п</w:t>
      </w:r>
      <w:r>
        <w:rPr>
          <w:rFonts w:hint="default" w:ascii="Times New Roman" w:hAnsi="Times New Roman" w:cs="Times New Roman"/>
          <w:sz w:val="28"/>
          <w:szCs w:val="28"/>
        </w:rPr>
        <w:t>остановление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Костромской области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октября </w:t>
      </w:r>
      <w:r>
        <w:rPr>
          <w:rFonts w:hint="default" w:ascii="Times New Roman" w:hAnsi="Times New Roman" w:cs="Times New Roman"/>
          <w:sz w:val="28"/>
          <w:szCs w:val="28"/>
        </w:rPr>
        <w:t>2015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</w:rPr>
        <w:t xml:space="preserve"> 358-а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</w:t>
      </w:r>
      <w:r>
        <w:rPr>
          <w:rFonts w:hint="default" w:ascii="Times New Roman" w:hAnsi="Times New Roman"/>
          <w:sz w:val="28"/>
          <w:szCs w:val="28"/>
        </w:rPr>
        <w:t>(проектов нормативных правовых актов) Костромской области</w:t>
      </w:r>
      <w:r>
        <w:rPr>
          <w:rFonts w:hint="default" w:ascii="Times New Roman" w:hAnsi="Times New Roman"/>
          <w:sz w:val="28"/>
          <w:szCs w:val="28"/>
          <w:lang w:val="ru-RU"/>
        </w:rPr>
        <w:t>».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Заключение оформляется в двух экземплярах, один из которых хранится в секторе, а другой экземпляр прикладывается к проекту нормативного правового акта, направляемого на подпись председателю комитета (в случае его отсутствия - заместителю председателя комитета).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пункт 13 изложить в следующей редакции: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«13.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</w:t>
      </w:r>
      <w:r>
        <w:rPr>
          <w:rFonts w:ascii="Times New Roman" w:hAnsi="Times New Roman" w:cs="Times New Roman"/>
          <w:sz w:val="28"/>
          <w:szCs w:val="28"/>
          <w:lang w:val="ru-RU"/>
        </w:rPr>
        <w:t>консультантом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готовится заключение по форме согласно приложению </w:t>
      </w:r>
      <w:r>
        <w:rPr>
          <w:rFonts w:hint="default" w:ascii="Times New Roman" w:hAnsi="Times New Roman" w:cs="Times New Roman"/>
          <w:sz w:val="28"/>
          <w:szCs w:val="28"/>
        </w:rPr>
        <w:t>к Порядку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Костромской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утвержденному п</w:t>
      </w:r>
      <w:r>
        <w:rPr>
          <w:rFonts w:hint="default" w:ascii="Times New Roman" w:hAnsi="Times New Roman" w:cs="Times New Roman"/>
          <w:sz w:val="28"/>
          <w:szCs w:val="28"/>
        </w:rPr>
        <w:t>остановление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Костромской области от 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октября </w:t>
      </w:r>
      <w:r>
        <w:rPr>
          <w:rFonts w:hint="default" w:ascii="Times New Roman" w:hAnsi="Times New Roman" w:cs="Times New Roman"/>
          <w:sz w:val="28"/>
          <w:szCs w:val="28"/>
        </w:rPr>
        <w:t>2015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</w:rPr>
        <w:t xml:space="preserve"> 358-а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Об антикоррупционной экспертизе 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(проектов нормативных правовых актов) Костромской области</w:t>
      </w:r>
      <w:r>
        <w:rPr>
          <w:rFonts w:hint="default" w:ascii="Times New Roman" w:hAnsi="Times New Roman"/>
          <w:sz w:val="28"/>
          <w:szCs w:val="28"/>
          <w:lang w:val="ru-RU"/>
        </w:rPr>
        <w:t>».</w:t>
      </w:r>
    </w:p>
    <w:p>
      <w:pPr>
        <w:pStyle w:val="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отражаются выявленные при проведении антикоррупционной экспертизы нормативных правовых коррупциогенные факторы либо их отсутствие. 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Заключение оформляется в двух экземплярах, один из которых хранится в секторе, а другой прикладывается к нормативному правовому акту.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pStyle w:val="6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Заключение по результатам антикоррупционной экспертизы (Приложение к порядку организации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актов, проектов нормативных правовых актов комитета по делам молодежи Костромской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 признать утратившим силу;</w:t>
      </w:r>
    </w:p>
    <w:p>
      <w:pPr>
        <w:pStyle w:val="6"/>
        <w:numPr>
          <w:ilvl w:val="0"/>
          <w:numId w:val="2"/>
        </w:numPr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независимой антикоррупционной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экспертизы проектов нормативных правовых актов, разработанных комитетом по делам молодежи Костромской области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(приложение 2) дополнить пунктом 5.1 следующего содержания:</w:t>
      </w:r>
    </w:p>
    <w:p>
      <w:pPr>
        <w:pStyle w:val="6"/>
        <w:numPr>
          <w:ilvl w:val="0"/>
          <w:numId w:val="0"/>
        </w:numPr>
        <w:tabs>
          <w:tab w:val="left" w:pos="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«5.1.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В случае если поступившее заключение по результатам независимой антикоррупционной экспертизы не соответствует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форме,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 утвержденной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риказом Министерства юстиции Российской Федерации от 21 октября 2011 года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 xml:space="preserve"> 363 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Об утверждении формы заключения по результатам независимой антикоррупционной экспертизы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en-US" w:eastAsia="zh-CN" w:bidi="ar"/>
        </w:rPr>
        <w:t>, такое заключение возвращается не позднее 30 дней после регистрации с указанием причин.</w:t>
      </w:r>
      <w:r>
        <w:rPr>
          <w:rFonts w:hint="default" w:ascii="Times New Roman" w:hAnsi="Times New Roman" w:eastAsia="SimSun" w:cs="Times New Roman"/>
          <w:b w:val="0"/>
          <w:bCs w:val="0"/>
          <w:color w:val="00000A"/>
          <w:kern w:val="0"/>
          <w:sz w:val="28"/>
          <w:szCs w:val="28"/>
          <w:lang w:val="ru-RU" w:eastAsia="zh-CN" w:bidi="ar"/>
        </w:rPr>
        <w:t>».</w:t>
      </w:r>
    </w:p>
    <w:p>
      <w:pPr>
        <w:pStyle w:val="6"/>
        <w:ind w:firstLine="709"/>
        <w:jc w:val="both"/>
        <w:rPr>
          <w:sz w:val="28"/>
          <w:szCs w:val="28"/>
        </w:rPr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Н.А. Лихачева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</w:p>
    <w:p>
      <w:pPr>
        <w:pStyle w:val="6"/>
        <w:ind w:firstLine="709"/>
        <w:jc w:val="both"/>
      </w:pP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59876"/>
    <w:multiLevelType w:val="singleLevel"/>
    <w:tmpl w:val="AF059876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6BFFFA52"/>
    <w:multiLevelType w:val="singleLevel"/>
    <w:tmpl w:val="6BFFFA5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E2E"/>
    <w:rsid w:val="00062BCF"/>
    <w:rsid w:val="000A5619"/>
    <w:rsid w:val="0012798C"/>
    <w:rsid w:val="00133D32"/>
    <w:rsid w:val="001945D4"/>
    <w:rsid w:val="00306121"/>
    <w:rsid w:val="003451AB"/>
    <w:rsid w:val="00747838"/>
    <w:rsid w:val="0076121A"/>
    <w:rsid w:val="007624AB"/>
    <w:rsid w:val="007F21BC"/>
    <w:rsid w:val="008C7257"/>
    <w:rsid w:val="009B43CD"/>
    <w:rsid w:val="00AA3363"/>
    <w:rsid w:val="00AD4B59"/>
    <w:rsid w:val="00BB17F0"/>
    <w:rsid w:val="00C046B7"/>
    <w:rsid w:val="00C57CE8"/>
    <w:rsid w:val="00CA7FCE"/>
    <w:rsid w:val="00E144C5"/>
    <w:rsid w:val="00ED49CA"/>
    <w:rsid w:val="09214893"/>
    <w:rsid w:val="0C5E76D0"/>
    <w:rsid w:val="1CD271B1"/>
    <w:rsid w:val="48B05A55"/>
    <w:rsid w:val="697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color w:val="00000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 w:eastAsiaTheme="minorEastAsia"/>
      <w:color w:val="00000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2602</Words>
  <Characters>14837</Characters>
  <Lines>123</Lines>
  <Paragraphs>34</Paragraphs>
  <TotalTime>22</TotalTime>
  <ScaleCrop>false</ScaleCrop>
  <LinksUpToDate>false</LinksUpToDate>
  <CharactersWithSpaces>17405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2018-08-03T07:27:00Z</dcterms:created>
  <dc:creator>Комитет840</dc:creator>
  <cp:lastModifiedBy>Комитет840</cp:lastModifiedBy>
  <cp:lastPrinted>2022-04-06T16:29:00Z</cp:lastPrinted>
  <dcterms:modified xsi:type="dcterms:W3CDTF">2022-04-12T15:23:59Z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261FCAB839D94424BA6CA1C9E0702D67</vt:lpwstr>
  </property>
</Properties>
</file>